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ames-2126"/>
    <w:p>
      <w:pPr>
        <w:pStyle w:val="Heading1"/>
      </w:pPr>
      <w:r>
        <w:t xml:space="preserve">Homiletics Analysis: James 2:1–26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James 2 divides into two tightly connected movements. The first (vv. 1–13) confronts the sin of partiality — specifically, the preferential treatment of the wealthy and the contemptuous treatment of the poor within the gathered assembly. James grounds his indictment in three arguments: partiality contradicts faith in the glorious Lord Jesus Christ (v. 1); it inverts reality, since it is the rich who oppress believers and the poor whom God has chosen (vv. 2–7); and it violates the</w:t>
      </w:r>
      <w:r>
        <w:t xml:space="preserve"> </w:t>
      </w:r>
      <w:r>
        <w:t xml:space="preserve">“royal law”</w:t>
      </w:r>
      <w:r>
        <w:t xml:space="preserve"> </w:t>
      </w:r>
      <w:r>
        <w:t xml:space="preserve">of neighbor-love, making the partial person a lawbreaker judged by the law of liberty (vv. 8–13). The second movement (vv. 14–26) addresses the relationship between faith and works, arguing that a faith which produces no works is dead — not genuine saving faith. James mounts three demonstrations: the uselessness of verbal profession divorced from practical help (vv. 14–17); the inadequacy of mere doctrinal assent, illustrated by the demons who believe and tremble (vv. 18–19); and the positive examples of Abraham and Rahab, both of whom were</w:t>
      </w:r>
      <w:r>
        <w:t xml:space="preserve"> </w:t>
      </w:r>
      <w:r>
        <w:t xml:space="preserve">“justified by works”</w:t>
      </w:r>
      <w:r>
        <w:t xml:space="preserve"> </w:t>
      </w:r>
      <w:r>
        <w:t xml:space="preserve">in the sense that their actions demonstrated and completed their faith (vv. 20–26).</w:t>
      </w:r>
    </w:p>
    <w:p>
      <w:pPr>
        <w:pStyle w:val="BodyText"/>
      </w:pPr>
      <w:r>
        <w:rPr>
          <w:b/>
          <w:bCs/>
        </w:rPr>
        <w:t xml:space="preserve">This Text — Intent</w:t>
      </w:r>
    </w:p>
    <w:p>
      <w:pPr>
        <w:pStyle w:val="BodyText"/>
      </w:pPr>
      <w:r>
        <w:t xml:space="preserve">James is not primarily teaching doctrine about faith and works in the abstract — he is confronting a community that has allowed social stratification to govern its life together, while simultaneously maintaining a verbal religion that costs them nothing. God’s intent through this chapter is to expose the self-deception of a profession that does not reshape behavior toward the poor, the excluded, and the needy — and to call the community to the kind of faith that shows itself alive by the works it produces. The chapter functions as a diagnostic: it is designed to surface whether what a community calls</w:t>
      </w:r>
      <w:r>
        <w:t xml:space="preserve"> </w:t>
      </w:r>
      <w:r>
        <w:t xml:space="preserve">“faith”</w:t>
      </w:r>
      <w:r>
        <w:t xml:space="preserve"> </w:t>
      </w:r>
      <w:r>
        <w:t xml:space="preserve">is genuine trust in the Lord of glory, or merely a socially comfortable religious identity.</w:t>
      </w:r>
    </w:p>
    <w:p>
      <w:r>
        <w:pict>
          <v:rect style="width:0;height:1.5pt" o:hralign="center" o:hrstd="t" o:hr="t"/>
        </w:pict>
      </w:r>
    </w:p>
    <w:p>
      <w:pPr>
        <w:pStyle w:val="FirstParagraph"/>
      </w:pPr>
      <w:r>
        <w:rPr>
          <w:b/>
          <w:bCs/>
        </w:rPr>
        <w:t xml:space="preserve">Subject Sentence:</w:t>
      </w:r>
      <w:r>
        <w:t xml:space="preserve"> </w:t>
      </w:r>
      <w:r>
        <w:t xml:space="preserve">Genuine faith in the Lord of glory shows itself alive — it neither plays favorites nor stands idle before human need.</w:t>
      </w:r>
    </w:p>
    <w:p>
      <w:r>
        <w:pict>
          <v:rect style="width:0;height:1.5pt" o:hralign="center" o:hrstd="t" o:hr="t"/>
        </w:pict>
      </w:r>
    </w:p>
    <w:p>
      <w:pPr>
        <w:pStyle w:val="FirstParagraph"/>
      </w:pPr>
      <w:r>
        <w:rPr>
          <w:b/>
          <w:bCs/>
        </w:rPr>
        <w:t xml:space="preserve">Primary Claim:</w:t>
      </w:r>
      <w:r>
        <w:t xml:space="preserve"> </w:t>
      </w:r>
      <w:r>
        <w:t xml:space="preserve">God is confronting His people with the self-deception of a profession detached from action — calling them to a faith that demonstrates its life by treating every person as bearing the image of the Lord of glory, and by meeting real need with real help.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Faith/Works Tension with Paul</w:t>
      </w:r>
    </w:p>
    <w:p>
      <w:pPr>
        <w:pStyle w:val="BodyText"/>
      </w:pPr>
      <w:r>
        <w:t xml:space="preserve">The most significant interpretive issue in James 2 is the apparent conflict with Paul. Paul declares that a person is</w:t>
      </w:r>
      <w:r>
        <w:t xml:space="preserve"> </w:t>
      </w:r>
      <w:r>
        <w:t xml:space="preserve">“justified by faith apart from works of the law”</w:t>
      </w:r>
      <w:r>
        <w:t xml:space="preserve"> </w:t>
      </w:r>
      <w:r>
        <w:t xml:space="preserve">(Romans 3:28); James declares that a person is</w:t>
      </w:r>
      <w:r>
        <w:t xml:space="preserve"> </w:t>
      </w:r>
      <w:r>
        <w:t xml:space="preserve">“justified by works and not by faith alone”</w:t>
      </w:r>
      <w:r>
        <w:t xml:space="preserve"> </w:t>
      </w:r>
      <w:r>
        <w:t xml:space="preserve">(v. 24). This apparent contradiction has generated interpretive controversy from Luther (who notoriously questioned James’s canonical status) to the present.</w:t>
      </w:r>
    </w:p>
    <w:p>
      <w:pPr>
        <w:pStyle w:val="BodyText"/>
      </w:pPr>
      <w:r>
        <w:t xml:space="preserve">The Reformed reading resolves this through careful attention to what each author means by the key terms. Paul and James use</w:t>
      </w:r>
      <w:r>
        <w:t xml:space="preserve"> </w:t>
      </w:r>
      <w:r>
        <w:t xml:space="preserve">“justify”</w:t>
      </w:r>
      <w:r>
        <w:t xml:space="preserve"> </w:t>
      </w:r>
      <w:r>
        <w:t xml:space="preserve">in different senses: Paul uses</w:t>
      </w:r>
      <w:r>
        <w:t xml:space="preserve"> </w:t>
      </w:r>
      <w:r>
        <w:rPr>
          <w:i/>
          <w:iCs/>
        </w:rPr>
        <w:t xml:space="preserve">dikaioō</w:t>
      </w:r>
      <w:r>
        <w:t xml:space="preserve"> </w:t>
      </w:r>
      <w:r>
        <w:t xml:space="preserve">in its forensic, declarative sense — the divine verdict that acquits the guilty before God’s tribunal, rendered on the basis of Christ’s righteousness received through faith alone. James uses</w:t>
      </w:r>
      <w:r>
        <w:t xml:space="preserve"> </w:t>
      </w:r>
      <w:r>
        <w:t xml:space="preserve">“justify”</w:t>
      </w:r>
      <w:r>
        <w:t xml:space="preserve"> </w:t>
      </w:r>
      <w:r>
        <w:t xml:space="preserve">in a demonstrative or vindicative sense — the public evidence or demonstration that a profession is genuine, visible to others (note: Abraham’s offering of Isaac in v. 21 is the demonstration of a faith already declared righteous in Genesis 15:6, decades earlier). Paul’s opponent is the person who thinks merit earns standing before God; James’s opponent is the person who thinks verbal profession without transformation constitutes genuine faith. They are firing at different targets with different ammunition. The Reformed verdict: Paul and James are not in tension — they are complementary. Saving faith is always</w:t>
      </w:r>
      <w:r>
        <w:t xml:space="preserve"> </w:t>
      </w:r>
      <w:r>
        <w:rPr>
          <w:i/>
          <w:iCs/>
        </w:rPr>
        <w:t xml:space="preserve">sola fide</w:t>
      </w:r>
      <w:r>
        <w:t xml:space="preserve">, but saving faith is never</w:t>
      </w:r>
      <w:r>
        <w:t xml:space="preserve"> </w:t>
      </w:r>
      <w:r>
        <w:rPr>
          <w:i/>
          <w:iCs/>
        </w:rPr>
        <w:t xml:space="preserve">fides sola</w:t>
      </w:r>
      <w:r>
        <w:t xml:space="preserve"> </w:t>
      </w:r>
      <w:r>
        <w:t xml:space="preserve">(faith alone, but not a faith that is alone). Luther’s hesitation about James reflects an over-reading of the apparent conflict and should be</w:t>
      </w:r>
      <w:r>
        <w:t xml:space="preserve"> </w:t>
      </w:r>
      <w:r>
        <w:rPr>
          <w:b/>
          <w:bCs/>
        </w:rPr>
        <w:t xml:space="preserve">refuted</w:t>
      </w:r>
      <w:r>
        <w:t xml:space="preserve"> </w:t>
      </w:r>
      <w:r>
        <w:t xml:space="preserve">as an interpretive judgment.</w:t>
      </w:r>
    </w:p>
    <w:p>
      <w:pPr>
        <w:pStyle w:val="BodyText"/>
      </w:pPr>
      <w:r>
        <w:rPr>
          <w:b/>
          <w:bCs/>
        </w:rPr>
        <w:t xml:space="preserve">The Arminian/Wesleyan Reading</w:t>
      </w:r>
    </w:p>
    <w:p>
      <w:pPr>
        <w:pStyle w:val="BodyText"/>
      </w:pPr>
      <w:r>
        <w:t xml:space="preserve">Wesleyan interpreters sometimes read James 2 as implying a synergistic salvation — that works cooperate with faith in securing justification before God. This reading imports into</w:t>
      </w:r>
      <w:r>
        <w:t xml:space="preserve"> </w:t>
      </w:r>
      <w:r>
        <w:t xml:space="preserve">“justified by works”</w:t>
      </w:r>
      <w:r>
        <w:t xml:space="preserve"> </w:t>
      </w:r>
      <w:r>
        <w:t xml:space="preserve">(v. 24) a meaning that the context does not support. Abraham and Rahab are not presented as earning their standing with God through their actions, but as demonstrating that their trust in God was genuine. The faith/works relationship in James is not cooperative but evidential: works are the evidence, not the co-cause, of saving faith. This reading should be</w:t>
      </w:r>
      <w:r>
        <w:t xml:space="preserve"> </w:t>
      </w:r>
      <w:r>
        <w:rPr>
          <w:b/>
          <w:bCs/>
        </w:rPr>
        <w:t xml:space="preserve">qualified</w:t>
      </w:r>
      <w:r>
        <w:t xml:space="preserve"> </w:t>
      </w:r>
      <w:r>
        <w:t xml:space="preserve">— it rightly stresses the inseparability of faith and life-transformation, but</w:t>
      </w:r>
      <w:r>
        <w:t xml:space="preserve"> </w:t>
      </w:r>
      <w:r>
        <w:rPr>
          <w:b/>
          <w:bCs/>
        </w:rPr>
        <w:t xml:space="preserve">refuted</w:t>
      </w:r>
      <w:r>
        <w:t xml:space="preserve"> </w:t>
      </w:r>
      <w:r>
        <w:t xml:space="preserve">insofar as it implies works contribute to the ground of justification.</w:t>
      </w:r>
    </w:p>
    <w:p>
      <w:pPr>
        <w:pStyle w:val="BodyText"/>
      </w:pPr>
      <w:r>
        <w:rPr>
          <w:b/>
          <w:bCs/>
        </w:rPr>
        <w:t xml:space="preserve">The Social-Gospel / Liberation Reading</w:t>
      </w:r>
    </w:p>
    <w:p>
      <w:pPr>
        <w:pStyle w:val="BodyText"/>
      </w:pPr>
      <w:r>
        <w:t xml:space="preserve">Some readings of James 2:1–13 deploy the partiality passage as a warrant for broad social-justice programs — using James’s concern for the poor as a platform for systemic economic critique. This reading</w:t>
      </w:r>
      <w:r>
        <w:t xml:space="preserve"> </w:t>
      </w:r>
      <w:r>
        <w:rPr>
          <w:b/>
          <w:bCs/>
        </w:rPr>
        <w:t xml:space="preserve">acknowledges</w:t>
      </w:r>
      <w:r>
        <w:t xml:space="preserve"> </w:t>
      </w:r>
      <w:r>
        <w:t xml:space="preserve">a genuine insight: James is unambiguously concerned with the poor, and his critique of favoritism toward the wealthy has real social edges. However, the context of James’s concern is the</w:t>
      </w:r>
      <w:r>
        <w:t xml:space="preserve"> </w:t>
      </w:r>
      <w:r>
        <w:rPr>
          <w:i/>
          <w:iCs/>
        </w:rPr>
        <w:t xml:space="preserve">gathered community</w:t>
      </w:r>
      <w:r>
        <w:t xml:space="preserve"> </w:t>
      </w:r>
      <w:r>
        <w:t xml:space="preserve">— the</w:t>
      </w:r>
      <w:r>
        <w:t xml:space="preserve"> </w:t>
      </w:r>
      <w:r>
        <w:rPr>
          <w:i/>
          <w:iCs/>
        </w:rPr>
        <w:t xml:space="preserve">synagogue</w:t>
      </w:r>
      <w:r>
        <w:t xml:space="preserve"> </w:t>
      </w:r>
      <w:r>
        <w:t xml:space="preserve">(v. 2,</w:t>
      </w:r>
      <w:r>
        <w:t xml:space="preserve"> </w:t>
      </w:r>
      <w:r>
        <w:rPr>
          <w:i/>
          <w:iCs/>
        </w:rPr>
        <w:t xml:space="preserve">sunagōgē</w:t>
      </w:r>
      <w:r>
        <w:t xml:space="preserve">) of believers — and his remedy is not political restructuring but transformed relationships within the body of Christ. The passage should not be flattened into a generic social-justice text. Its force is far more pointed: it confronts</w:t>
      </w:r>
      <w:r>
        <w:t xml:space="preserve"> </w:t>
      </w:r>
      <w:r>
        <w:rPr>
          <w:i/>
          <w:iCs/>
        </w:rPr>
        <w:t xml:space="preserve">the church</w:t>
      </w:r>
      <w:r>
        <w:t xml:space="preserve"> </w:t>
      </w:r>
      <w:r>
        <w:t xml:space="preserve">for reproducing the world’s social hierarchies inside the assembly of the Lord of glory.</w:t>
      </w:r>
    </w:p>
    <w:p>
      <w:pPr>
        <w:pStyle w:val="BodyText"/>
      </w:pPr>
      <w:r>
        <w:rPr>
          <w:b/>
          <w:bCs/>
        </w:rPr>
        <w:t xml:space="preserve">The</w:t>
      </w:r>
      <w:r>
        <w:rPr>
          <w:b/>
          <w:bCs/>
        </w:rPr>
        <w:t xml:space="preserve"> </w:t>
      </w:r>
      <w:r>
        <w:rPr>
          <w:b/>
          <w:bCs/>
        </w:rPr>
        <w:t xml:space="preserve">“Dead Faith”</w:t>
      </w:r>
      <w:r>
        <w:rPr>
          <w:b/>
          <w:bCs/>
        </w:rPr>
        <w:t xml:space="preserve"> </w:t>
      </w:r>
      <w:r>
        <w:rPr>
          <w:b/>
          <w:bCs/>
        </w:rPr>
        <w:t xml:space="preserve">Debate</w:t>
      </w:r>
    </w:p>
    <w:p>
      <w:pPr>
        <w:pStyle w:val="BodyText"/>
      </w:pPr>
      <w:r>
        <w:t xml:space="preserve">Some interpreters argue that the</w:t>
      </w:r>
      <w:r>
        <w:t xml:space="preserve"> </w:t>
      </w:r>
      <w:r>
        <w:t xml:space="preserve">“dead faith”</w:t>
      </w:r>
      <w:r>
        <w:t xml:space="preserve"> </w:t>
      </w:r>
      <w:r>
        <w:t xml:space="preserve">of vv. 17, 26 refers to a genuine but non-saving faith — a second kind of faith that real believers may possess, distinct from saving faith. This reading attempts to maintain the possibility of a</w:t>
      </w:r>
      <w:r>
        <w:t xml:space="preserve"> </w:t>
      </w:r>
      <w:r>
        <w:t xml:space="preserve">“carnal Christian”</w:t>
      </w:r>
      <w:r>
        <w:t xml:space="preserve"> </w:t>
      </w:r>
      <w:r>
        <w:t xml:space="preserve">whose faith is real but dormant. The text does not support this. James is not describing two kinds of genuine faith; he is arguing that what these people call</w:t>
      </w:r>
      <w:r>
        <w:t xml:space="preserve"> </w:t>
      </w:r>
      <w:r>
        <w:t xml:space="preserve">“faith”</w:t>
      </w:r>
      <w:r>
        <w:t xml:space="preserve"> </w:t>
      </w:r>
      <w:r>
        <w:t xml:space="preserve">is not faith at all — it is bare intellectual assent or verbal profession, no different from demonic</w:t>
      </w:r>
      <w:r>
        <w:t xml:space="preserve"> </w:t>
      </w:r>
      <w:r>
        <w:t xml:space="preserve">“belief”</w:t>
      </w:r>
      <w:r>
        <w:t xml:space="preserve"> </w:t>
      </w:r>
      <w:r>
        <w:t xml:space="preserve">(v. 19). The category of</w:t>
      </w:r>
      <w:r>
        <w:t xml:space="preserve"> </w:t>
      </w:r>
      <w:r>
        <w:t xml:space="preserve">“dead faith”</w:t>
      </w:r>
      <w:r>
        <w:t xml:space="preserve"> </w:t>
      </w:r>
      <w:r>
        <w:t xml:space="preserve">is not a subset of genuine faith — it is a counterfeit that is exposed as non-faith by its fruitlessness. This should be</w:t>
      </w:r>
      <w:r>
        <w:t xml:space="preserve"> </w:t>
      </w:r>
      <w:r>
        <w:rPr>
          <w:b/>
          <w:bCs/>
        </w:rPr>
        <w:t xml:space="preserve">refuted</w:t>
      </w:r>
      <w:r>
        <w:t xml:space="preser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15:6 / Genesis 22</w:t>
      </w:r>
      <w:r>
        <w:t xml:space="preserve"> </w:t>
      </w:r>
      <w:r>
        <w:t xml:space="preserve">—</w:t>
      </w:r>
      <w:r>
        <w:t xml:space="preserve"> </w:t>
      </w:r>
      <w:r>
        <w:t xml:space="preserve">“Abraham believed God, and it was counted to him as righteousness”</w:t>
      </w:r>
      <w:r>
        <w:t xml:space="preserve"> </w:t>
      </w:r>
      <w:r>
        <w:t xml:space="preserve">(Gen. 15:6, cited by James in v. 23). The declaration of righteousness precedes the demonstration of faith in the offering of Isaac (Gen. 22) by decades — establishing that James’s</w:t>
      </w:r>
      <w:r>
        <w:t xml:space="preserve"> </w:t>
      </w:r>
      <w:r>
        <w:t xml:space="preserve">“justified by works”</w:t>
      </w:r>
      <w:r>
        <w:t xml:space="preserve"> </w:t>
      </w:r>
      <w:r>
        <w:t xml:space="preserve">means demonstrative, not meritorious justification.</w:t>
      </w:r>
    </w:p>
    <w:p>
      <w:pPr>
        <w:numPr>
          <w:ilvl w:val="0"/>
          <w:numId w:val="1001"/>
        </w:numPr>
      </w:pPr>
      <w:r>
        <w:rPr>
          <w:b/>
          <w:bCs/>
        </w:rPr>
        <w:t xml:space="preserve">Leviticus 19:15, 18</w:t>
      </w:r>
      <w:r>
        <w:t xml:space="preserve"> </w:t>
      </w:r>
      <w:r>
        <w:t xml:space="preserve">—</w:t>
      </w:r>
      <w:r>
        <w:t xml:space="preserve"> </w:t>
      </w:r>
      <w:r>
        <w:t xml:space="preserve">“You shall do no injustice in court. You shall not be partial to the poor or defer to the great… you shall love your neighbor as yourself.”</w:t>
      </w:r>
      <w:r>
        <w:t xml:space="preserve"> </w:t>
      </w:r>
      <w:r>
        <w:t xml:space="preserve">The</w:t>
      </w:r>
      <w:r>
        <w:t xml:space="preserve"> </w:t>
      </w:r>
      <w:r>
        <w:t xml:space="preserve">“royal law”</w:t>
      </w:r>
      <w:r>
        <w:t xml:space="preserve"> </w:t>
      </w:r>
      <w:r>
        <w:t xml:space="preserve">James cites in v. 8 draws directly from Leviticus 19, situating his partiality critique within the Mosaic covenant’s demand for justice within the community.</w:t>
      </w:r>
    </w:p>
    <w:p>
      <w:pPr>
        <w:numPr>
          <w:ilvl w:val="0"/>
          <w:numId w:val="1001"/>
        </w:numPr>
      </w:pPr>
      <w:r>
        <w:rPr>
          <w:b/>
          <w:bCs/>
        </w:rPr>
        <w:t xml:space="preserve">Proverbs 14:31; 19:17</w:t>
      </w:r>
      <w:r>
        <w:t xml:space="preserve"> </w:t>
      </w:r>
      <w:r>
        <w:t xml:space="preserve">—</w:t>
      </w:r>
      <w:r>
        <w:t xml:space="preserve"> </w:t>
      </w:r>
      <w:r>
        <w:t xml:space="preserve">“Whoever oppresses a poor man insults his Maker… Whoever is generous to the poor lends to the LORD.”</w:t>
      </w:r>
      <w:r>
        <w:t xml:space="preserve"> </w:t>
      </w:r>
      <w:r>
        <w:t xml:space="preserve">The Old Testament Wisdom tradition consistently identifies treatment of the poor as a theological act — insulting or honoring God Himself. James stands in this stream.</w:t>
      </w:r>
    </w:p>
    <w:p>
      <w:pPr>
        <w:numPr>
          <w:ilvl w:val="0"/>
          <w:numId w:val="1001"/>
        </w:numPr>
      </w:pPr>
      <w:r>
        <w:rPr>
          <w:b/>
          <w:bCs/>
        </w:rPr>
        <w:t xml:space="preserve">Romans 3:28 / Ephesians 2:8–10</w:t>
      </w:r>
      <w:r>
        <w:t xml:space="preserve"> </w:t>
      </w:r>
      <w:r>
        <w:t xml:space="preserve">— Paul’s definitive statement of</w:t>
      </w:r>
      <w:r>
        <w:t xml:space="preserve"> </w:t>
      </w:r>
      <w:r>
        <w:rPr>
          <w:i/>
          <w:iCs/>
        </w:rPr>
        <w:t xml:space="preserve">sola fide</w:t>
      </w:r>
      <w:r>
        <w:t xml:space="preserve"> </w:t>
      </w:r>
      <w:r>
        <w:t xml:space="preserve">is not contradicted but completed by James:</w:t>
      </w:r>
      <w:r>
        <w:t xml:space="preserve"> </w:t>
      </w:r>
      <w:r>
        <w:t xml:space="preserve">“For we are his workmanship, created in Christ Jesus for good works, which God prepared beforehand, that we should walk in them”</w:t>
      </w:r>
      <w:r>
        <w:t xml:space="preserve"> </w:t>
      </w:r>
      <w:r>
        <w:t xml:space="preserve">(Eph. 2:10). Faith alone saves; the faith that saves does not remain alone.</w:t>
      </w:r>
    </w:p>
    <w:p>
      <w:pPr>
        <w:numPr>
          <w:ilvl w:val="0"/>
          <w:numId w:val="1001"/>
        </w:numPr>
      </w:pPr>
      <w:r>
        <w:rPr>
          <w:b/>
          <w:bCs/>
        </w:rPr>
        <w:t xml:space="preserve">Matthew 25:31–46</w:t>
      </w:r>
      <w:r>
        <w:t xml:space="preserve"> </w:t>
      </w:r>
      <w:r>
        <w:t xml:space="preserve">— The sheep and goats judgment, where the criterion of separation is treatment of</w:t>
      </w:r>
      <w:r>
        <w:t xml:space="preserve"> </w:t>
      </w:r>
      <w:r>
        <w:t xml:space="preserve">“the least of these my brothers.”</w:t>
      </w:r>
      <w:r>
        <w:t xml:space="preserve"> </w:t>
      </w:r>
      <w:r>
        <w:t xml:space="preserve">Not as the ground of justification, but as the evidence of it — precisely James’s framework applied at the eschatological scale.</w:t>
      </w:r>
    </w:p>
    <w:p>
      <w:r>
        <w:pict>
          <v:rect style="width:0;height:1.5pt" o:hralign="center" o:hrstd="t" o:hr="t"/>
        </w:pict>
      </w:r>
    </w:p>
    <w:p>
      <w:pPr>
        <w:pStyle w:val="FirstParagraph"/>
      </w:pPr>
      <w:r>
        <w:rPr>
          <w:b/>
          <w:bCs/>
        </w:rPr>
        <w:t xml:space="preserve">Aim:</w:t>
      </w:r>
      <w:r>
        <w:t xml:space="preserve"> </w:t>
      </w:r>
      <w:r>
        <w:t xml:space="preserve">To expose the self-deception of a faith that plays favorites and stands idle before need — and to call hearers to the kind of living trust in the Lord of glory that shows itself alive in how it treats every person.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Command: do not hold faith in the Lord of glory with partiality</w:t>
            </w:r>
          </w:p>
        </w:tc>
        <w:tc>
          <w:tcPr/>
          <w:p>
            <w:pPr>
              <w:pStyle w:val="Compact"/>
            </w:pPr>
            <w:r>
              <w:t xml:space="preserve">“Lord of glory”</w:t>
            </w:r>
            <w:r>
              <w:t xml:space="preserve"> </w:t>
            </w:r>
            <w:r>
              <w:t xml:space="preserve">— the title is the argument; playing favorites contradicts who Jesus is</w:t>
            </w:r>
          </w:p>
        </w:tc>
      </w:tr>
      <w:tr>
        <w:tc>
          <w:tcPr/>
          <w:p>
            <w:pPr>
              <w:pStyle w:val="Compact"/>
            </w:pPr>
            <w:r>
              <w:t xml:space="preserve">2:2–4</w:t>
            </w:r>
          </w:p>
        </w:tc>
        <w:tc>
          <w:tcPr/>
          <w:p>
            <w:pPr>
              <w:pStyle w:val="Compact"/>
            </w:pPr>
            <w:r>
              <w:t xml:space="preserve">The scenario: preferential seating for the rich, contemptuous treatment of the poor</w:t>
            </w:r>
          </w:p>
        </w:tc>
        <w:tc>
          <w:tcPr/>
          <w:p>
            <w:pPr>
              <w:pStyle w:val="Compact"/>
            </w:pPr>
            <w:r>
              <w:rPr>
                <w:i/>
                <w:iCs/>
              </w:rPr>
              <w:t xml:space="preserve">Sunagōgē</w:t>
            </w:r>
            <w:r>
              <w:t xml:space="preserve"> </w:t>
            </w:r>
            <w:r>
              <w:t xml:space="preserve">(synagogue/assembly) — the setting is the gathered church</w:t>
            </w:r>
          </w:p>
        </w:tc>
      </w:tr>
      <w:tr>
        <w:tc>
          <w:tcPr/>
          <w:p>
            <w:pPr>
              <w:pStyle w:val="Compact"/>
            </w:pPr>
            <w:r>
              <w:t xml:space="preserve">2:5</w:t>
            </w:r>
          </w:p>
        </w:tc>
        <w:tc>
          <w:tcPr/>
          <w:p>
            <w:pPr>
              <w:pStyle w:val="Compact"/>
            </w:pPr>
            <w:r>
              <w:t xml:space="preserve">Counter-reality: God has chosen the poor to be rich in faith and heirs of the kingdom</w:t>
            </w:r>
          </w:p>
        </w:tc>
        <w:tc>
          <w:tcPr/>
          <w:p>
            <w:pPr>
              <w:pStyle w:val="Compact"/>
            </w:pPr>
            <w:r>
              <w:t xml:space="preserve">The world’s social calculus is inverted in the kingdom</w:t>
            </w:r>
          </w:p>
        </w:tc>
      </w:tr>
      <w:tr>
        <w:tc>
          <w:tcPr/>
          <w:p>
            <w:pPr>
              <w:pStyle w:val="Compact"/>
            </w:pPr>
            <w:r>
              <w:t xml:space="preserve">2:6–7</w:t>
            </w:r>
          </w:p>
        </w:tc>
        <w:tc>
          <w:tcPr/>
          <w:p>
            <w:pPr>
              <w:pStyle w:val="Compact"/>
            </w:pPr>
            <w:r>
              <w:t xml:space="preserve">Further irony: the rich oppress believers and blaspheme Christ’s name</w:t>
            </w:r>
          </w:p>
        </w:tc>
        <w:tc>
          <w:tcPr/>
          <w:p>
            <w:pPr>
              <w:pStyle w:val="Compact"/>
            </w:pPr>
            <w:r>
              <w:t xml:space="preserve">The very group being honored is the group actively harming the community</w:t>
            </w:r>
          </w:p>
        </w:tc>
      </w:tr>
      <w:tr>
        <w:tc>
          <w:tcPr/>
          <w:p>
            <w:pPr>
              <w:pStyle w:val="Compact"/>
            </w:pPr>
            <w:r>
              <w:t xml:space="preserve">2:8–9</w:t>
            </w:r>
          </w:p>
        </w:tc>
        <w:tc>
          <w:tcPr/>
          <w:p>
            <w:pPr>
              <w:pStyle w:val="Compact"/>
            </w:pPr>
            <w:r>
              <w:t xml:space="preserve">The royal law: love your neighbor — partiality violates this law and makes one a transgressor</w:t>
            </w:r>
          </w:p>
        </w:tc>
        <w:tc>
          <w:tcPr/>
          <w:p>
            <w:pPr>
              <w:pStyle w:val="Compact"/>
            </w:pPr>
            <w:r>
              <w:t xml:space="preserve">“Royal law”</w:t>
            </w:r>
            <w:r>
              <w:t xml:space="preserve"> </w:t>
            </w:r>
            <w:r>
              <w:t xml:space="preserve">— the Leviticus 19:18 command as the governing norm</w:t>
            </w:r>
          </w:p>
        </w:tc>
      </w:tr>
      <w:tr>
        <w:tc>
          <w:tcPr/>
          <w:p>
            <w:pPr>
              <w:pStyle w:val="Compact"/>
            </w:pPr>
            <w:r>
              <w:t xml:space="preserve">2:10–11</w:t>
            </w:r>
          </w:p>
        </w:tc>
        <w:tc>
          <w:tcPr/>
          <w:p>
            <w:pPr>
              <w:pStyle w:val="Compact"/>
            </w:pPr>
            <w:r>
              <w:t xml:space="preserve">Whoever keeps the whole law but fails in one point is guilty of all</w:t>
            </w:r>
          </w:p>
        </w:tc>
        <w:tc>
          <w:tcPr/>
          <w:p>
            <w:pPr>
              <w:pStyle w:val="Compact"/>
            </w:pPr>
            <w:r>
              <w:t xml:space="preserve">Indivisibility of the law — partial obedience is disobedience</w:t>
            </w:r>
          </w:p>
        </w:tc>
      </w:tr>
      <w:tr>
        <w:tc>
          <w:tcPr/>
          <w:p>
            <w:pPr>
              <w:pStyle w:val="Compact"/>
            </w:pPr>
            <w:r>
              <w:t xml:space="preserve">2:12–13</w:t>
            </w:r>
          </w:p>
        </w:tc>
        <w:tc>
          <w:tcPr/>
          <w:p>
            <w:pPr>
              <w:pStyle w:val="Compact"/>
            </w:pPr>
            <w:r>
              <w:t xml:space="preserve">Speak and act as those who will be judged by the law of liberty — mercy triumphs over judgment</w:t>
            </w:r>
          </w:p>
        </w:tc>
        <w:tc>
          <w:tcPr/>
          <w:p>
            <w:pPr>
              <w:pStyle w:val="Compact"/>
            </w:pPr>
            <w:r>
              <w:t xml:space="preserve">Eschatological framing — behavior now is governed by accountability then</w:t>
            </w:r>
          </w:p>
        </w:tc>
      </w:tr>
      <w:tr>
        <w:tc>
          <w:tcPr/>
          <w:p>
            <w:pPr>
              <w:pStyle w:val="Compact"/>
            </w:pPr>
            <w:r>
              <w:t xml:space="preserve">2:14</w:t>
            </w:r>
          </w:p>
        </w:tc>
        <w:tc>
          <w:tcPr/>
          <w:p>
            <w:pPr>
              <w:pStyle w:val="Compact"/>
            </w:pPr>
            <w:r>
              <w:t xml:space="preserve">Rhetorical question: what good is</w:t>
            </w:r>
            <w:r>
              <w:t xml:space="preserve"> </w:t>
            </w:r>
            <w:r>
              <w:t xml:space="preserve">“faith”</w:t>
            </w:r>
            <w:r>
              <w:t xml:space="preserve"> </w:t>
            </w:r>
            <w:r>
              <w:t xml:space="preserve">that has no works — can it save?</w:t>
            </w:r>
          </w:p>
        </w:tc>
        <w:tc>
          <w:tcPr/>
          <w:p>
            <w:pPr>
              <w:pStyle w:val="Compact"/>
            </w:pPr>
            <w:r>
              <w:t xml:space="preserve">The interrogative form signals James knows his audience’s self-assessment</w:t>
            </w:r>
          </w:p>
        </w:tc>
      </w:tr>
      <w:tr>
        <w:tc>
          <w:tcPr/>
          <w:p>
            <w:pPr>
              <w:pStyle w:val="Compact"/>
            </w:pPr>
            <w:r>
              <w:t xml:space="preserve">2:15–16</w:t>
            </w:r>
          </w:p>
        </w:tc>
        <w:tc>
          <w:tcPr/>
          <w:p>
            <w:pPr>
              <w:pStyle w:val="Compact"/>
            </w:pPr>
            <w:r>
              <w:t xml:space="preserve">Illustration: verbal blessing to a cold, hungry brother without practical help</w:t>
            </w:r>
          </w:p>
        </w:tc>
        <w:tc>
          <w:tcPr/>
          <w:p>
            <w:pPr>
              <w:pStyle w:val="Compact"/>
            </w:pPr>
            <w:r>
              <w:t xml:space="preserve">The absurdity of verbal religion without embodied action</w:t>
            </w:r>
          </w:p>
        </w:tc>
      </w:tr>
      <w:tr>
        <w:tc>
          <w:tcPr/>
          <w:p>
            <w:pPr>
              <w:pStyle w:val="Compact"/>
            </w:pPr>
            <w:r>
              <w:t xml:space="preserve">2:17</w:t>
            </w:r>
          </w:p>
        </w:tc>
        <w:tc>
          <w:tcPr/>
          <w:p>
            <w:pPr>
              <w:pStyle w:val="Compact"/>
            </w:pPr>
            <w:r>
              <w:t xml:space="preserve">Conclusion: faith by itself, if it has no works, is dead</w:t>
            </w:r>
          </w:p>
        </w:tc>
        <w:tc>
          <w:tcPr/>
          <w:p>
            <w:pPr>
              <w:pStyle w:val="Compact"/>
            </w:pPr>
            <w:r>
              <w:t xml:space="preserve">First explicit statement of the</w:t>
            </w:r>
            <w:r>
              <w:t xml:space="preserve"> </w:t>
            </w:r>
            <w:r>
              <w:t xml:space="preserve">“dead faith”</w:t>
            </w:r>
            <w:r>
              <w:t xml:space="preserve"> </w:t>
            </w:r>
            <w:r>
              <w:t xml:space="preserve">thesis</w:t>
            </w:r>
          </w:p>
        </w:tc>
      </w:tr>
      <w:tr>
        <w:tc>
          <w:tcPr/>
          <w:p>
            <w:pPr>
              <w:pStyle w:val="Compact"/>
            </w:pPr>
            <w:r>
              <w:t xml:space="preserve">2:18</w:t>
            </w:r>
          </w:p>
        </w:tc>
        <w:tc>
          <w:tcPr/>
          <w:p>
            <w:pPr>
              <w:pStyle w:val="Compact"/>
            </w:pPr>
            <w:r>
              <w:t xml:space="preserve">The objector addressed: show me your faith apart from works; I will show you faith by my works</w:t>
            </w:r>
          </w:p>
        </w:tc>
        <w:tc>
          <w:tcPr/>
          <w:p>
            <w:pPr>
              <w:pStyle w:val="Compact"/>
            </w:pPr>
            <w:r>
              <w:t xml:space="preserve">Works are the only available demonstration of genuine faith</w:t>
            </w:r>
          </w:p>
        </w:tc>
      </w:tr>
      <w:tr>
        <w:tc>
          <w:tcPr/>
          <w:p>
            <w:pPr>
              <w:pStyle w:val="Compact"/>
            </w:pPr>
            <w:r>
              <w:t xml:space="preserve">2:19</w:t>
            </w:r>
          </w:p>
        </w:tc>
        <w:tc>
          <w:tcPr/>
          <w:p>
            <w:pPr>
              <w:pStyle w:val="Compact"/>
            </w:pPr>
            <w:r>
              <w:t xml:space="preserve">Doctrinal assent alone: even demons believe — and shudder</w:t>
            </w:r>
          </w:p>
        </w:tc>
        <w:tc>
          <w:tcPr/>
          <w:p>
            <w:pPr>
              <w:pStyle w:val="Compact"/>
            </w:pPr>
            <w:r>
              <w:t xml:space="preserve">Bare monotheistic belief is not saving faith</w:t>
            </w:r>
          </w:p>
        </w:tc>
      </w:tr>
      <w:tr>
        <w:tc>
          <w:tcPr/>
          <w:p>
            <w:pPr>
              <w:pStyle w:val="Compact"/>
            </w:pPr>
            <w:r>
              <w:t xml:space="preserve">2:20</w:t>
            </w:r>
          </w:p>
        </w:tc>
        <w:tc>
          <w:tcPr/>
          <w:p>
            <w:pPr>
              <w:pStyle w:val="Compact"/>
            </w:pPr>
            <w:r>
              <w:t xml:space="preserve">Challenge:</w:t>
            </w:r>
            <w:r>
              <w:t xml:space="preserve"> </w:t>
            </w:r>
            <w:r>
              <w:t xml:space="preserve">“Do you want to be shown, you foolish person, that faith apart from works is useless?”</w:t>
            </w:r>
          </w:p>
        </w:tc>
        <w:tc>
          <w:tcPr/>
          <w:p>
            <w:pPr>
              <w:pStyle w:val="Compact"/>
            </w:pPr>
            <w:r>
              <w:t xml:space="preserve">Direct address;</w:t>
            </w:r>
            <w:r>
              <w:t xml:space="preserve"> </w:t>
            </w:r>
            <w:r>
              <w:t xml:space="preserve">“useless”</w:t>
            </w:r>
            <w:r>
              <w:t xml:space="preserve"> </w:t>
            </w:r>
            <w:r>
              <w:t xml:space="preserve">(</w:t>
            </w:r>
            <w:r>
              <w:rPr>
                <w:i/>
                <w:iCs/>
              </w:rPr>
              <w:t xml:space="preserve">argē</w:t>
            </w:r>
            <w:r>
              <w:t xml:space="preserve">) — barren, idle, unproductive</w:t>
            </w:r>
          </w:p>
        </w:tc>
      </w:tr>
      <w:tr>
        <w:tc>
          <w:tcPr/>
          <w:p>
            <w:pPr>
              <w:pStyle w:val="Compact"/>
            </w:pPr>
            <w:r>
              <w:t xml:space="preserve">2:21–23</w:t>
            </w:r>
          </w:p>
        </w:tc>
        <w:tc>
          <w:tcPr/>
          <w:p>
            <w:pPr>
              <w:pStyle w:val="Compact"/>
            </w:pPr>
            <w:r>
              <w:t xml:space="preserve">Abraham: offered Isaac, was justified by works, Scripture was fulfilled, he was called friend of God</w:t>
            </w:r>
          </w:p>
        </w:tc>
        <w:tc>
          <w:tcPr/>
          <w:p>
            <w:pPr>
              <w:pStyle w:val="Compact"/>
            </w:pPr>
            <w:r>
              <w:t xml:space="preserve">“Justified by works”</w:t>
            </w:r>
            <w:r>
              <w:t xml:space="preserve"> </w:t>
            </w:r>
            <w:r>
              <w:t xml:space="preserve">= his action demonstrated and completed his faith (Gen. 15:6 preceded Gen. 22)</w:t>
            </w:r>
          </w:p>
        </w:tc>
      </w:tr>
      <w:tr>
        <w:tc>
          <w:tcPr/>
          <w:p>
            <w:pPr>
              <w:pStyle w:val="Compact"/>
            </w:pPr>
            <w:r>
              <w:t xml:space="preserve">2:24</w:t>
            </w:r>
          </w:p>
        </w:tc>
        <w:tc>
          <w:tcPr/>
          <w:p>
            <w:pPr>
              <w:pStyle w:val="Compact"/>
            </w:pPr>
            <w:r>
              <w:t xml:space="preserve">Explicit conclusion: a person is justified by works and not by faith alone</w:t>
            </w:r>
          </w:p>
        </w:tc>
        <w:tc>
          <w:tcPr/>
          <w:p>
            <w:pPr>
              <w:pStyle w:val="Compact"/>
            </w:pPr>
            <w:r>
              <w:t xml:space="preserve">The culminating thesis — demonstrative justification, not forensic</w:t>
            </w:r>
          </w:p>
        </w:tc>
      </w:tr>
      <w:tr>
        <w:tc>
          <w:tcPr/>
          <w:p>
            <w:pPr>
              <w:pStyle w:val="Compact"/>
            </w:pPr>
            <w:r>
              <w:t xml:space="preserve">2:25</w:t>
            </w:r>
          </w:p>
        </w:tc>
        <w:tc>
          <w:tcPr/>
          <w:p>
            <w:pPr>
              <w:pStyle w:val="Compact"/>
            </w:pPr>
            <w:r>
              <w:t xml:space="preserve">Rahab: justified by works in receiving and sending out the spies</w:t>
            </w:r>
          </w:p>
        </w:tc>
        <w:tc>
          <w:tcPr/>
          <w:p>
            <w:pPr>
              <w:pStyle w:val="Compact"/>
            </w:pPr>
            <w:r>
              <w:t xml:space="preserve">A Gentile, a woman, a former prostitute — breadth of the principle</w:t>
            </w:r>
          </w:p>
        </w:tc>
      </w:tr>
      <w:tr>
        <w:tc>
          <w:tcPr/>
          <w:p>
            <w:pPr>
              <w:pStyle w:val="Compact"/>
            </w:pPr>
            <w:r>
              <w:t xml:space="preserve">2:26</w:t>
            </w:r>
          </w:p>
        </w:tc>
        <w:tc>
          <w:tcPr/>
          <w:p>
            <w:pPr>
              <w:pStyle w:val="Compact"/>
            </w:pPr>
            <w:r>
              <w:t xml:space="preserve">Analogy: body without spirit is dead; faith without works is dead</w:t>
            </w:r>
          </w:p>
        </w:tc>
        <w:tc>
          <w:tcPr/>
          <w:p>
            <w:pPr>
              <w:pStyle w:val="Compact"/>
            </w:pPr>
            <w:r>
              <w:t xml:space="preserve">Closing chiastic echo of v. 17 — seals the argument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2:1–4</w:t>
            </w:r>
          </w:p>
        </w:tc>
        <w:tc>
          <w:tcPr/>
          <w:p>
            <w:pPr>
              <w:pStyle w:val="Compact"/>
            </w:pPr>
            <w:r>
              <w:t xml:space="preserve">The Sin Defined: Partiality in the Assembly</w:t>
            </w:r>
          </w:p>
        </w:tc>
      </w:tr>
      <w:tr>
        <w:tc>
          <w:tcPr/>
          <w:p>
            <w:pPr>
              <w:pStyle w:val="Compact"/>
            </w:pPr>
            <w:r>
              <w:t xml:space="preserve">2</w:t>
            </w:r>
          </w:p>
        </w:tc>
        <w:tc>
          <w:tcPr/>
          <w:p>
            <w:pPr>
              <w:pStyle w:val="Compact"/>
            </w:pPr>
            <w:r>
              <w:t xml:space="preserve">2:5–7</w:t>
            </w:r>
          </w:p>
        </w:tc>
        <w:tc>
          <w:tcPr/>
          <w:p>
            <w:pPr>
              <w:pStyle w:val="Compact"/>
            </w:pPr>
            <w:r>
              <w:t xml:space="preserve">The Sin Exposed: Its Irony and Its Insult</w:t>
            </w:r>
          </w:p>
        </w:tc>
      </w:tr>
      <w:tr>
        <w:tc>
          <w:tcPr/>
          <w:p>
            <w:pPr>
              <w:pStyle w:val="Compact"/>
            </w:pPr>
            <w:r>
              <w:t xml:space="preserve">3</w:t>
            </w:r>
          </w:p>
        </w:tc>
        <w:tc>
          <w:tcPr/>
          <w:p>
            <w:pPr>
              <w:pStyle w:val="Compact"/>
            </w:pPr>
            <w:r>
              <w:t xml:space="preserve">2:8–13</w:t>
            </w:r>
          </w:p>
        </w:tc>
        <w:tc>
          <w:tcPr/>
          <w:p>
            <w:pPr>
              <w:pStyle w:val="Compact"/>
            </w:pPr>
            <w:r>
              <w:t xml:space="preserve">The Sin Judged: Violation of the Royal Law</w:t>
            </w:r>
          </w:p>
        </w:tc>
      </w:tr>
      <w:tr>
        <w:tc>
          <w:tcPr/>
          <w:p>
            <w:pPr>
              <w:pStyle w:val="Compact"/>
            </w:pPr>
            <w:r>
              <w:t xml:space="preserve">4</w:t>
            </w:r>
          </w:p>
        </w:tc>
        <w:tc>
          <w:tcPr/>
          <w:p>
            <w:pPr>
              <w:pStyle w:val="Compact"/>
            </w:pPr>
            <w:r>
              <w:t xml:space="preserve">2:14–17</w:t>
            </w:r>
          </w:p>
        </w:tc>
        <w:tc>
          <w:tcPr/>
          <w:p>
            <w:pPr>
              <w:pStyle w:val="Compact"/>
            </w:pPr>
            <w:r>
              <w:t xml:space="preserve">Dead Faith: The Uselessness of Profession Without Action</w:t>
            </w:r>
          </w:p>
        </w:tc>
      </w:tr>
      <w:tr>
        <w:tc>
          <w:tcPr/>
          <w:p>
            <w:pPr>
              <w:pStyle w:val="Compact"/>
            </w:pPr>
            <w:r>
              <w:t xml:space="preserve">5</w:t>
            </w:r>
          </w:p>
        </w:tc>
        <w:tc>
          <w:tcPr/>
          <w:p>
            <w:pPr>
              <w:pStyle w:val="Compact"/>
            </w:pPr>
            <w:r>
              <w:t xml:space="preserve">2:18–19</w:t>
            </w:r>
          </w:p>
        </w:tc>
        <w:tc>
          <w:tcPr/>
          <w:p>
            <w:pPr>
              <w:pStyle w:val="Compact"/>
            </w:pPr>
            <w:r>
              <w:t xml:space="preserve">Dead Faith: The Inadequacy of Mere Doctrinal Assent</w:t>
            </w:r>
          </w:p>
        </w:tc>
      </w:tr>
      <w:tr>
        <w:tc>
          <w:tcPr/>
          <w:p>
            <w:pPr>
              <w:pStyle w:val="Compact"/>
            </w:pPr>
            <w:r>
              <w:t xml:space="preserve">6</w:t>
            </w:r>
          </w:p>
        </w:tc>
        <w:tc>
          <w:tcPr/>
          <w:p>
            <w:pPr>
              <w:pStyle w:val="Compact"/>
            </w:pPr>
            <w:r>
              <w:t xml:space="preserve">2:20–26</w:t>
            </w:r>
          </w:p>
        </w:tc>
        <w:tc>
          <w:tcPr/>
          <w:p>
            <w:pPr>
              <w:pStyle w:val="Compact"/>
            </w:pPr>
            <w:r>
              <w:t xml:space="preserve">Living Faith Demonstrated: Abraham, Rahab, and the Inseparability of Faith and Works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Genuine faith in the Lord of glory shows itself alive — it neither plays favorites nor stands idle before human need.</w:t>
      </w:r>
    </w:p>
    <w:p>
      <w:pPr>
        <w:pStyle w:val="BodyText"/>
      </w:pPr>
      <w:r>
        <w:rPr>
          <w:b/>
          <w:bCs/>
        </w:rPr>
        <w:t xml:space="preserve">Primary Claim:</w:t>
      </w:r>
      <w:r>
        <w:t xml:space="preserve"> </w:t>
      </w:r>
      <w:r>
        <w:t xml:space="preserve">God is confronting His people with the self-deception of a profession detached from action — calling them to a faith that demonstrates its life by treating every person as bearing the image of the Lord of glory, and by meeting real need with real help.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way your church seats, welcomes, and honors people reveals what you actually believe about Jesus. If wealth, influence, or social status governs how people are received in your assembly — given the best seats, the warmest greetings, the most attentive care — you have imported the world’s hierarchy into the house of the Lord of glory. Examine your hospitality not just as a social practice but as a theological one: does the way you treat the newcomer in worn clothes reflect that you believe he bears the image of the One before whom every knee will bow?</w:t>
      </w:r>
      <w:r>
        <w:t xml:space="preserve"> </w:t>
      </w:r>
      <w:r>
        <w:rPr>
          <w:i/>
          <w:iCs/>
        </w:rPr>
        <w:t xml:space="preserve">(Center: Will/Behavior)</w:t>
      </w:r>
    </w:p>
    <w:p>
      <w:pPr>
        <w:pStyle w:val="BodyText"/>
      </w:pPr>
      <w:r>
        <w:rPr>
          <w:b/>
          <w:bCs/>
        </w:rPr>
        <w:t xml:space="preserve">2.</w:t>
      </w:r>
      <w:r>
        <w:t xml:space="preserve"> </w:t>
      </w:r>
      <w:r>
        <w:t xml:space="preserve">The demons have correct theology. They believe in one God — monotheism, rightly stated — and they shudder. If your faith has never disturbed your comfort, never cost you anything, never moved your hands and your money, then you may be operating with demonic-grade religion dressed in Christian vocabulary. Stop auditing your faith by what you assent to and start auditing it by what it produces. The question is not</w:t>
      </w:r>
      <w:r>
        <w:t xml:space="preserve"> </w:t>
      </w:r>
      <w:r>
        <w:t xml:space="preserve">“do I believe the right things?”</w:t>
      </w:r>
      <w:r>
        <w:t xml:space="preserve"> </w:t>
      </w:r>
      <w:r>
        <w:t xml:space="preserve">but</w:t>
      </w:r>
      <w:r>
        <w:t xml:space="preserve"> </w:t>
      </w:r>
      <w:r>
        <w:t xml:space="preserve">“is there any evidence that this belief is alive?”</w:t>
      </w:r>
      <w:r>
        <w:t xml:space="preserve"> </w:t>
      </w:r>
      <w:r>
        <w:rPr>
          <w:i/>
          <w:iCs/>
        </w:rPr>
        <w:t xml:space="preserve">(Center: Mind/Belief)</w:t>
      </w:r>
    </w:p>
    <w:p>
      <w:pPr>
        <w:pStyle w:val="BodyText"/>
      </w:pPr>
      <w:r>
        <w:rPr>
          <w:b/>
          <w:bCs/>
        </w:rPr>
        <w:t xml:space="preserve">3.</w:t>
      </w:r>
      <w:r>
        <w:t xml:space="preserve"> </w:t>
      </w:r>
      <w:r>
        <w:t xml:space="preserve">James’s scenario of the cold, hungry brother dismissed with</w:t>
      </w:r>
      <w:r>
        <w:t xml:space="preserve"> </w:t>
      </w:r>
      <w:r>
        <w:t xml:space="preserve">“go in peace, be warmed and filled”</w:t>
      </w:r>
      <w:r>
        <w:t xml:space="preserve"> </w:t>
      </w:r>
      <w:r>
        <w:t xml:space="preserve">is not just a first-century illustration — it is a portrait of every prayer meeting that intercedes eloquently for the poor and every budget committee that defunds mercy. Ask yourself: is there a person in my immediate reach — in my church, my neighborhood, my family — whose concrete need I have verbally acknowledged and practically ignored? The gap between</w:t>
      </w:r>
      <w:r>
        <w:t xml:space="preserve"> </w:t>
      </w:r>
      <w:r>
        <w:t xml:space="preserve">“I’ll pray for you”</w:t>
      </w:r>
      <w:r>
        <w:t xml:space="preserve"> </w:t>
      </w:r>
      <w:r>
        <w:t xml:space="preserve">and</w:t>
      </w:r>
      <w:r>
        <w:t xml:space="preserve"> </w:t>
      </w:r>
      <w:r>
        <w:t xml:space="preserve">“here is what you need”</w:t>
      </w:r>
      <w:r>
        <w:t xml:space="preserve"> </w:t>
      </w:r>
      <w:r>
        <w:t xml:space="preserve">is the gap James is measuring.</w:t>
      </w:r>
      <w:r>
        <w:t xml:space="preserve"> </w:t>
      </w:r>
      <w:r>
        <w:rPr>
          <w:i/>
          <w:iCs/>
        </w:rPr>
        <w:t xml:space="preserve">(Center: Will/Behavior)</w:t>
      </w:r>
    </w:p>
    <w:p>
      <w:pPr>
        <w:pStyle w:val="BodyText"/>
      </w:pPr>
      <w:r>
        <w:rPr>
          <w:b/>
          <w:bCs/>
        </w:rPr>
        <w:t xml:space="preserve">4.</w:t>
      </w:r>
      <w:r>
        <w:t xml:space="preserve"> </w:t>
      </w:r>
      <w:r>
        <w:t xml:space="preserve">God chose the poor to be rich in faith and heirs of the kingdom (v. 5). This is not a reversal of the world’s values for its own sake — it is a statement about where trust in God flourishes. The wealthy have options; the poor have God. When a community of faith systematically courts the wealthy and neglects the poor, it is not just being socially unjust — it is gravitating away from the people in whom the kingdom is most visibly at home. Let the presence of the poor in your assembly not be an awkward pastoral challenge to manage, but a sign that the kingdom is near.</w:t>
      </w:r>
      <w:r>
        <w:t xml:space="preserve"> </w:t>
      </w:r>
      <w:r>
        <w:rPr>
          <w:i/>
          <w:iCs/>
        </w:rPr>
        <w:t xml:space="preserve">(Center: Affections/Worship)</w:t>
      </w:r>
    </w:p>
    <w:p>
      <w:pPr>
        <w:pStyle w:val="BodyText"/>
      </w:pPr>
      <w:r>
        <w:rPr>
          <w:b/>
          <w:bCs/>
        </w:rPr>
        <w:t xml:space="preserve">5.</w:t>
      </w:r>
      <w:r>
        <w:t xml:space="preserve"> </w:t>
      </w:r>
      <w:r>
        <w:t xml:space="preserve">Abraham was already declared righteous in Genesis 15 before he offered Isaac in Genesis 22. His works did not produce his justification — they demonstrated it. This means you are not called to work</w:t>
      </w:r>
      <w:r>
        <w:t xml:space="preserve"> </w:t>
      </w:r>
      <w:r>
        <w:rPr>
          <w:i/>
          <w:iCs/>
        </w:rPr>
        <w:t xml:space="preserve">toward</w:t>
      </w:r>
      <w:r>
        <w:t xml:space="preserve"> </w:t>
      </w:r>
      <w:r>
        <w:t xml:space="preserve">your standing before God, but</w:t>
      </w:r>
      <w:r>
        <w:t xml:space="preserve"> </w:t>
      </w:r>
      <w:r>
        <w:rPr>
          <w:i/>
          <w:iCs/>
        </w:rPr>
        <w:t xml:space="preserve">from</w:t>
      </w:r>
      <w:r>
        <w:t xml:space="preserve"> </w:t>
      </w:r>
      <w:r>
        <w:t xml:space="preserve">it. Your obedience, your generosity, your costly acts of love are not bids for divine approval — they are the natural overflow of a faith that is alive. If that overflow is absent, the question is not</w:t>
      </w:r>
      <w:r>
        <w:t xml:space="preserve"> </w:t>
      </w:r>
      <w:r>
        <w:t xml:space="preserve">“how do I do more?”</w:t>
      </w:r>
      <w:r>
        <w:t xml:space="preserve"> </w:t>
      </w:r>
      <w:r>
        <w:t xml:space="preserve">but</w:t>
      </w:r>
      <w:r>
        <w:t xml:space="preserve"> </w:t>
      </w:r>
      <w:r>
        <w:t xml:space="preserve">“is the source alive?”</w:t>
      </w:r>
      <w:r>
        <w:t xml:space="preserve"> </w:t>
      </w:r>
      <w:r>
        <w:t xml:space="preserve">— which drives you not to the to-do list but back to the gospel.</w:t>
      </w:r>
      <w:r>
        <w:t xml:space="preserve"> </w:t>
      </w:r>
      <w:r>
        <w:rPr>
          <w:i/>
          <w:iCs/>
        </w:rPr>
        <w:t xml:space="preserve">(Center: 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James 2 teaches that the Lord Jesus Christ — described as</w:t>
      </w:r>
      <w:r>
        <w:t xml:space="preserve"> </w:t>
      </w:r>
      <w:r>
        <w:t xml:space="preserve">“the Lord of glory”</w:t>
      </w:r>
      <w:r>
        <w:t xml:space="preserve"> </w:t>
      </w:r>
      <w:r>
        <w:t xml:space="preserve">(v. 1) — is the ultimate criterion by which every human relationship in the assembly is measured. Because Jesus is the Lord of glory, every person who bears His image and name possesses a dignity that no social calculus may override. The chapter further teaches that genuine saving faith is a living reality, not an inert intellectual category — it is the kind of trust in God that, like Abraham’s, moves through the whole person and produces visible, costly action. God’s character as the one who</w:t>
      </w:r>
      <w:r>
        <w:t xml:space="preserve"> </w:t>
      </w:r>
      <w:r>
        <w:t xml:space="preserve">“chose the poor to be rich in faith”</w:t>
      </w:r>
      <w:r>
        <w:t xml:space="preserve"> </w:t>
      </w:r>
      <w:r>
        <w:t xml:space="preserve">(v. 5) is displayed in His systematic reversal of human status hierarchies, and His law — summarized as love of neighbor — is indivisible: partial obedience is disobedience before the Judge who will render mercy to the merciful.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James 2 is a crucial pillar in the Reformed understanding of the relationship between justification and sanctification. The Reformation formula —</w:t>
      </w:r>
      <w:r>
        <w:t xml:space="preserve"> </w:t>
      </w:r>
      <w:r>
        <w:rPr>
          <w:i/>
          <w:iCs/>
        </w:rPr>
        <w:t xml:space="preserve">sola fide</w:t>
      </w:r>
      <w:r>
        <w:t xml:space="preserve">, but</w:t>
      </w:r>
      <w:r>
        <w:t xml:space="preserve"> </w:t>
      </w:r>
      <w:r>
        <w:rPr>
          <w:i/>
          <w:iCs/>
        </w:rPr>
        <w:t xml:space="preserve">fides non sola</w:t>
      </w:r>
      <w:r>
        <w:t xml:space="preserve"> </w:t>
      </w:r>
      <w:r>
        <w:t xml:space="preserve">(faith alone, but not a faith that is alone) — finds its sharpest biblical support here. Justification is by faith alone, received not earned; but the faith that justifies is a living faith, and living faith shows itself alive in works. James guards against the antinomian corruption of the gospel — the reduction of grace to a license for comfortable, cost-free religion. The passage also displays the covenant unity of Scripture: the</w:t>
      </w:r>
      <w:r>
        <w:t xml:space="preserve"> </w:t>
      </w:r>
      <w:r>
        <w:t xml:space="preserve">“royal law”</w:t>
      </w:r>
      <w:r>
        <w:t xml:space="preserve"> </w:t>
      </w:r>
      <w:r>
        <w:t xml:space="preserve">James cites is Leviticus 19:18, demonstrating that the law of neighbor-love is not a New Testament innovation but the moral architecture of the whole covenant community across both Testaments. Finally, the Abraham/Rahab pairing — a patriarch and a Gentile former prostitute — demonstrates that the evidential justification James describes transcends ethnicity, gender, and moral history, grounded not in human achievement but in genuine trust in the God who calls and keeps.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faith that saves is the faith that shows. If your religion fits comfortably inside your existing social preferences, costs you nothing toward the person in need in front of you, and leaves your treatment of the poor and the powerless unchanged — James is not inviting you to try harder. He is questioning whether what you have is faith at all. You were declared righteous by grace through faith alone; now live from that declaration — because a faith that is alive cannot stand over a cold, hungry neighbor and say</w:t>
      </w:r>
      <w:r>
        <w:t xml:space="preserve"> </w:t>
      </w:r>
      <w:r>
        <w:t xml:space="preserve">“be warmed”</w:t>
      </w:r>
      <w:r>
        <w:t xml:space="preserve"> </w:t>
      </w:r>
      <w:r>
        <w:t xml:space="preserve">and walk away.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James 2 into a proof-text against Paul — or vice versa.</w:t>
      </w:r>
      <w:r>
        <w:t xml:space="preserve"> </w:t>
      </w:r>
      <w:r>
        <w:t xml:space="preserve">The most common error in preaching this chapter is framing it as a counter-argument to Romans or Galatians, or defensively subordinating James to Paul as though he needs to be rescued from himself. James and Paul are answering different questions to different audiences about different distortions. Preach the complementarity: Paul confronts the person trying to earn standing with God; James confronts the person who claims standing with God but whose life shows no evidence of it. Both are essential.</w:t>
      </w:r>
    </w:p>
    <w:p>
      <w:pPr>
        <w:numPr>
          <w:ilvl w:val="0"/>
          <w:numId w:val="1002"/>
        </w:numPr>
      </w:pPr>
      <w:r>
        <w:rPr>
          <w:b/>
          <w:bCs/>
        </w:rPr>
        <w:t xml:space="preserve">Reducing the partiality section to generic</w:t>
      </w:r>
      <w:r>
        <w:rPr>
          <w:b/>
          <w:bCs/>
        </w:rPr>
        <w:t xml:space="preserve"> </w:t>
      </w:r>
      <w:r>
        <w:rPr>
          <w:b/>
          <w:bCs/>
        </w:rPr>
        <w:t xml:space="preserve">“be inclusive”</w:t>
      </w:r>
      <w:r>
        <w:rPr>
          <w:b/>
          <w:bCs/>
        </w:rPr>
        <w:t xml:space="preserve"> </w:t>
      </w:r>
      <w:r>
        <w:rPr>
          <w:b/>
          <w:bCs/>
        </w:rPr>
        <w:t xml:space="preserve">application.</w:t>
      </w:r>
      <w:r>
        <w:t xml:space="preserve"> </w:t>
      </w:r>
      <w:r>
        <w:t xml:space="preserve">The power of vv. 1–13 is not a general social-tolerance message — it is a theological argument grounded in the identity of Jesus as</w:t>
      </w:r>
      <w:r>
        <w:t xml:space="preserve"> </w:t>
      </w:r>
      <w:r>
        <w:t xml:space="preserve">“the Lord of glory.”</w:t>
      </w:r>
      <w:r>
        <w:t xml:space="preserve"> </w:t>
      </w:r>
      <w:r>
        <w:t xml:space="preserve">The reason partiality is sin is not that all people deserve equal dignity in a humanistic sense, but that they stand before the same Lord whose glory relativizes every human status distinction to zero. Applications that stop at</w:t>
      </w:r>
      <w:r>
        <w:t xml:space="preserve"> </w:t>
      </w:r>
      <w:r>
        <w:t xml:space="preserve">“welcome everyone”</w:t>
      </w:r>
      <w:r>
        <w:t xml:space="preserve"> </w:t>
      </w:r>
      <w:r>
        <w:t xml:space="preserve">without grounding the command in Christology have missed the nerve of the passage.</w:t>
      </w:r>
    </w:p>
    <w:p>
      <w:pPr>
        <w:numPr>
          <w:ilvl w:val="0"/>
          <w:numId w:val="1002"/>
        </w:numPr>
      </w:pPr>
      <w:r>
        <w:rPr>
          <w:b/>
          <w:bCs/>
        </w:rPr>
        <w:t xml:space="preserve">Preaching</w:t>
      </w:r>
      <w:r>
        <w:rPr>
          <w:b/>
          <w:bCs/>
        </w:rPr>
        <w:t xml:space="preserve"> </w:t>
      </w:r>
      <w:r>
        <w:rPr>
          <w:b/>
          <w:bCs/>
        </w:rPr>
        <w:t xml:space="preserve">“dead faith”</w:t>
      </w:r>
      <w:r>
        <w:rPr>
          <w:b/>
          <w:bCs/>
        </w:rPr>
        <w:t xml:space="preserve"> </w:t>
      </w:r>
      <w:r>
        <w:rPr>
          <w:b/>
          <w:bCs/>
        </w:rPr>
        <w:t xml:space="preserve">without gospel grounding.</w:t>
      </w:r>
      <w:r>
        <w:t xml:space="preserve"> </w:t>
      </w:r>
      <w:r>
        <w:t xml:space="preserve">The danger of James 2:14–26 is that it becomes a moralistic motivational speech —</w:t>
      </w:r>
      <w:r>
        <w:t xml:space="preserve"> </w:t>
      </w:r>
      <w:r>
        <w:t xml:space="preserve">“be the kind of Christian who does things.”</w:t>
      </w:r>
      <w:r>
        <w:t xml:space="preserve"> </w:t>
      </w:r>
      <w:r>
        <w:t xml:space="preserve">This is precisely the application James does not want. The Abraham illustration is the corrective: his faith was declared righteous (Genesis 15) before it was demonstrated (Genesis 22). Applications must always move from grace to works, never from works toward grace. Hearers should leave convicted about whether their faith is alive, but drawn toward Christ as the source of life — not driven toward moral self-improvement.</w:t>
      </w:r>
    </w:p>
    <w:p>
      <w:pPr>
        <w:numPr>
          <w:ilvl w:val="0"/>
          <w:numId w:val="1002"/>
        </w:numPr>
      </w:pPr>
      <w:r>
        <w:rPr>
          <w:b/>
          <w:bCs/>
        </w:rPr>
        <w:t xml:space="preserve">Treating</w:t>
      </w:r>
      <w:r>
        <w:rPr>
          <w:b/>
          <w:bCs/>
        </w:rPr>
        <w:t xml:space="preserve"> </w:t>
      </w:r>
      <w:r>
        <w:rPr>
          <w:b/>
          <w:bCs/>
        </w:rPr>
        <w:t xml:space="preserve">“justified by works”</w:t>
      </w:r>
      <w:r>
        <w:rPr>
          <w:b/>
          <w:bCs/>
        </w:rPr>
        <w:t xml:space="preserve"> </w:t>
      </w:r>
      <w:r>
        <w:rPr>
          <w:b/>
          <w:bCs/>
        </w:rPr>
        <w:t xml:space="preserve">(v. 24) as contributing to forensic justification.</w:t>
      </w:r>
      <w:r>
        <w:t xml:space="preserve"> </w:t>
      </w:r>
      <w:r>
        <w:t xml:space="preserve">James is not describing the ground of standing before God. He is describing how genuine faith is recognized — demonstrated, vindicated, shown to be real. Conflating James’s</w:t>
      </w:r>
      <w:r>
        <w:t xml:space="preserve"> </w:t>
      </w:r>
      <w:r>
        <w:t xml:space="preserve">“justified by works”</w:t>
      </w:r>
      <w:r>
        <w:t xml:space="preserve"> </w:t>
      </w:r>
      <w:r>
        <w:t xml:space="preserve">with Paul’s forensic categories produces either a synergistic salvation (works cooperate in justification) or a confused hearer who cannot reconcile the two passages. The demonstrative/evidential sense of</w:t>
      </w:r>
      <w:r>
        <w:t xml:space="preserve"> </w:t>
      </w:r>
      <w:r>
        <w:rPr>
          <w:i/>
          <w:iCs/>
        </w:rPr>
        <w:t xml:space="preserve">dikaioō</w:t>
      </w:r>
      <w:r>
        <w:t xml:space="preserve"> </w:t>
      </w:r>
      <w:r>
        <w:t xml:space="preserve">in James must be stated clearly and early in any exposition of vv. 20–26.</w:t>
      </w:r>
    </w:p>
    <w:p>
      <w:pPr>
        <w:numPr>
          <w:ilvl w:val="0"/>
          <w:numId w:val="1002"/>
        </w:numPr>
      </w:pPr>
      <w:r>
        <w:rPr>
          <w:b/>
          <w:bCs/>
        </w:rPr>
        <w:t xml:space="preserve">Missing the eschatological frame.</w:t>
      </w:r>
      <w:r>
        <w:t xml:space="preserve"> </w:t>
      </w:r>
      <w:r>
        <w:t xml:space="preserve">Verses 12–13 —</w:t>
      </w:r>
      <w:r>
        <w:t xml:space="preserve"> </w:t>
      </w:r>
      <w:r>
        <w:t xml:space="preserve">“speak and act as those who are to be judged under the law of liberty”</w:t>
      </w:r>
      <w:r>
        <w:t xml:space="preserve"> </w:t>
      </w:r>
      <w:r>
        <w:t xml:space="preserve">— set the entire ethical argument of the chapter in an eschatological context. The behavior James calls for is not merely socially virtuous; it is behavior shaped by standing before the Judge. Preaching that omits the judgment frame of vv. 12–13 loses the urgency and the ultimate ground of the application.</w:t>
      </w:r>
    </w:p>
    <w:p>
      <w:pPr>
        <w:numPr>
          <w:ilvl w:val="0"/>
          <w:numId w:val="1002"/>
        </w:numPr>
      </w:pPr>
      <w:r>
        <w:rPr>
          <w:b/>
          <w:bCs/>
        </w:rPr>
        <w:t xml:space="preserve">Extracting the faith/works section from the partiality section.</w:t>
      </w:r>
      <w:r>
        <w:t xml:space="preserve"> </w:t>
      </w:r>
      <w:r>
        <w:t xml:space="preserve">The two halves of James 2 are almost always preached as separate sermons or separate topics. But James wrote one chapter, not two. The connection is load-bearing: the community’s partiality toward the rich</w:t>
      </w:r>
      <w:r>
        <w:t xml:space="preserve"> </w:t>
      </w:r>
      <w:r>
        <w:rPr>
          <w:i/>
          <w:iCs/>
        </w:rPr>
        <w:t xml:space="preserve">is</w:t>
      </w:r>
      <w:r>
        <w:t xml:space="preserve"> </w:t>
      </w:r>
      <w:r>
        <w:t xml:space="preserve">the presenting evidence of a dead faith. The dead faith of vv. 14–26 is not an abstract theological problem — it is the root beneath the specific social sin exposed in vv. 1–13. Preaching both halves as one movement exposes the diagnostic unity of the chapter: dead faith manifests as social favoritism, verbal religion, and doctrinal intellectualism equally.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2026-07-14T21:08:27Z</dcterms:created>
  <dcterms:modified xsi:type="dcterms:W3CDTF">2026-07-14T21:08:27Z</dcterms:modified>
</cp:coreProperties>
</file>

<file path=docProps/custom.xml><?xml version="1.0" encoding="utf-8"?>
<Properties xmlns="http://schemas.openxmlformats.org/officeDocument/2006/custom-properties" xmlns:vt="http://schemas.openxmlformats.org/officeDocument/2006/docPropsVTypes"/>
</file>